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8" w:rsidRPr="00633F58" w:rsidRDefault="00633F58" w:rsidP="00633F58">
      <w:pPr>
        <w:spacing w:after="200"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3F58">
        <w:rPr>
          <w:rFonts w:eastAsia="Calibri"/>
          <w:color w:val="auto"/>
          <w:sz w:val="28"/>
          <w:szCs w:val="28"/>
          <w:lang w:eastAsia="en-US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633F58" w:rsidRPr="00633F58" w:rsidRDefault="00633F58" w:rsidP="00633F58">
      <w:pPr>
        <w:spacing w:after="20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633F58" w:rsidRPr="00633F58" w:rsidRDefault="00633F58" w:rsidP="00633F58">
      <w:pPr>
        <w:spacing w:after="0" w:line="259" w:lineRule="auto"/>
        <w:ind w:left="0" w:firstLine="0"/>
        <w:jc w:val="left"/>
      </w:pPr>
    </w:p>
    <w:p w:rsidR="00633F58" w:rsidRPr="00633F58" w:rsidRDefault="00633F58" w:rsidP="00633F58">
      <w:pPr>
        <w:spacing w:after="0" w:line="259" w:lineRule="auto"/>
        <w:ind w:left="0" w:firstLine="0"/>
        <w:jc w:val="left"/>
      </w:pPr>
      <w:r w:rsidRPr="00633F58">
        <w:tab/>
        <w:t xml:space="preserve"> </w:t>
      </w:r>
    </w:p>
    <w:p w:rsidR="00633F58" w:rsidRPr="00633F58" w:rsidRDefault="00633F58" w:rsidP="00633F58">
      <w:pPr>
        <w:tabs>
          <w:tab w:val="left" w:pos="649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onstantia" w:eastAsiaTheme="minorEastAsia" w:hAnsi="Constantia" w:cs="Constantia"/>
          <w:b/>
          <w:bCs/>
          <w:color w:val="auto"/>
          <w:szCs w:val="24"/>
        </w:rPr>
      </w:pPr>
      <w:r w:rsidRPr="00633F58">
        <w:rPr>
          <w:rFonts w:eastAsiaTheme="minorEastAsia"/>
          <w:b/>
          <w:bCs/>
          <w:color w:val="auto"/>
          <w:sz w:val="22"/>
        </w:rPr>
        <w:t>СОГЛАСОВАНО</w:t>
      </w:r>
      <w:r w:rsidRPr="00633F58">
        <w:rPr>
          <w:rFonts w:eastAsiaTheme="minorEastAsia"/>
          <w:b/>
          <w:bCs/>
          <w:color w:val="auto"/>
          <w:sz w:val="22"/>
        </w:rPr>
        <w:tab/>
        <w:t xml:space="preserve">     </w:t>
      </w:r>
      <w:r w:rsidRPr="00633F58">
        <w:rPr>
          <w:rFonts w:ascii="Constantia" w:eastAsiaTheme="minorEastAsia" w:hAnsi="Constantia" w:cs="Constantia"/>
          <w:b/>
          <w:bCs/>
          <w:color w:val="auto"/>
          <w:szCs w:val="24"/>
        </w:rPr>
        <w:t>УТВЕРЖДАЮ</w:t>
      </w:r>
    </w:p>
    <w:p w:rsidR="00633F58" w:rsidRPr="00633F58" w:rsidRDefault="00633F58" w:rsidP="00633F58">
      <w:pPr>
        <w:tabs>
          <w:tab w:val="left" w:pos="6398"/>
        </w:tabs>
        <w:autoSpaceDE w:val="0"/>
        <w:autoSpaceDN w:val="0"/>
        <w:adjustRightInd w:val="0"/>
        <w:spacing w:after="0" w:line="384" w:lineRule="exact"/>
        <w:ind w:left="0" w:firstLine="0"/>
        <w:jc w:val="left"/>
        <w:rPr>
          <w:rFonts w:eastAsiaTheme="minorEastAsia"/>
          <w:bCs/>
          <w:color w:val="auto"/>
          <w:sz w:val="22"/>
        </w:rPr>
      </w:pPr>
      <w:r w:rsidRPr="00633F58">
        <w:rPr>
          <w:rFonts w:eastAsiaTheme="minorEastAsia"/>
          <w:bCs/>
          <w:color w:val="auto"/>
          <w:sz w:val="22"/>
        </w:rPr>
        <w:t xml:space="preserve">Председатель </w:t>
      </w:r>
      <w:r w:rsidRPr="00633F58">
        <w:rPr>
          <w:rFonts w:eastAsiaTheme="minorEastAsia"/>
          <w:bCs/>
          <w:color w:val="auto"/>
          <w:spacing w:val="-20"/>
          <w:szCs w:val="24"/>
        </w:rPr>
        <w:t>профсоюзного</w:t>
      </w:r>
      <w:r w:rsidRPr="00633F58">
        <w:rPr>
          <w:rFonts w:eastAsiaTheme="minorEastAsia"/>
          <w:bCs/>
          <w:color w:val="auto"/>
          <w:spacing w:val="-20"/>
          <w:szCs w:val="24"/>
        </w:rPr>
        <w:tab/>
      </w:r>
      <w:r w:rsidRPr="00633F58">
        <w:rPr>
          <w:rFonts w:eastAsiaTheme="minorEastAsia"/>
          <w:bCs/>
          <w:color w:val="auto"/>
          <w:sz w:val="22"/>
        </w:rPr>
        <w:t>Директор МБОУ «Школа № 65»</w:t>
      </w:r>
    </w:p>
    <w:p w:rsidR="00633F58" w:rsidRPr="00633F58" w:rsidRDefault="00633F58" w:rsidP="00633F58">
      <w:pPr>
        <w:tabs>
          <w:tab w:val="left" w:pos="6398"/>
        </w:tabs>
        <w:autoSpaceDE w:val="0"/>
        <w:autoSpaceDN w:val="0"/>
        <w:adjustRightInd w:val="0"/>
        <w:spacing w:after="0" w:line="384" w:lineRule="exact"/>
        <w:ind w:left="0" w:firstLine="0"/>
        <w:jc w:val="left"/>
        <w:rPr>
          <w:rFonts w:eastAsiaTheme="minorEastAsia"/>
          <w:bCs/>
          <w:color w:val="auto"/>
          <w:sz w:val="22"/>
        </w:rPr>
      </w:pPr>
      <w:r w:rsidRPr="00633F58">
        <w:rPr>
          <w:rFonts w:eastAsiaTheme="minorEastAsia"/>
          <w:bCs/>
          <w:color w:val="auto"/>
          <w:sz w:val="22"/>
        </w:rPr>
        <w:t>комитета</w:t>
      </w:r>
      <w:r w:rsidRPr="00633F58">
        <w:rPr>
          <w:rFonts w:eastAsiaTheme="minorEastAsia"/>
          <w:bCs/>
          <w:color w:val="auto"/>
          <w:sz w:val="22"/>
        </w:rPr>
        <w:tab/>
        <w:t>Приказ от 28.08.2023 г № 259</w:t>
      </w:r>
    </w:p>
    <w:p w:rsidR="00633F58" w:rsidRPr="00633F58" w:rsidRDefault="00633F58" w:rsidP="00633F58">
      <w:pPr>
        <w:tabs>
          <w:tab w:val="left" w:pos="5683"/>
        </w:tabs>
        <w:autoSpaceDE w:val="0"/>
        <w:autoSpaceDN w:val="0"/>
        <w:adjustRightInd w:val="0"/>
        <w:spacing w:after="0" w:line="384" w:lineRule="exact"/>
        <w:ind w:left="0" w:firstLine="0"/>
        <w:jc w:val="left"/>
        <w:rPr>
          <w:rFonts w:eastAsiaTheme="minorEastAsia"/>
          <w:i/>
          <w:iCs/>
          <w:color w:val="auto"/>
          <w:spacing w:val="-20"/>
          <w:sz w:val="28"/>
          <w:szCs w:val="28"/>
        </w:rPr>
      </w:pPr>
      <w:r w:rsidRPr="00633F58">
        <w:rPr>
          <w:rFonts w:eastAsiaTheme="minorEastAsia"/>
          <w:b/>
          <w:bCs/>
          <w:color w:val="auto"/>
          <w:spacing w:val="-10"/>
          <w:position w:val="-3"/>
          <w:szCs w:val="24"/>
        </w:rPr>
        <w:t>____________ Пустовалова М.Ю.</w:t>
      </w:r>
      <w:r w:rsidRPr="00633F58">
        <w:rPr>
          <w:rFonts w:eastAsiaTheme="minorEastAsia"/>
          <w:b/>
          <w:bCs/>
          <w:color w:val="auto"/>
          <w:sz w:val="22"/>
        </w:rPr>
        <w:tab/>
      </w:r>
      <w:r w:rsidRPr="00633F58">
        <w:rPr>
          <w:rFonts w:eastAsiaTheme="minorEastAsia"/>
          <w:b/>
          <w:bCs/>
          <w:color w:val="auto"/>
          <w:sz w:val="22"/>
        </w:rPr>
        <w:tab/>
      </w:r>
      <w:r w:rsidRPr="00633F58">
        <w:rPr>
          <w:rFonts w:eastAsiaTheme="minorEastAsia"/>
          <w:b/>
          <w:bCs/>
          <w:color w:val="auto"/>
          <w:sz w:val="22"/>
        </w:rPr>
        <w:tab/>
        <w:t>__________ М.В. Бут_</w:t>
      </w:r>
    </w:p>
    <w:p w:rsidR="00633F58" w:rsidRPr="00633F58" w:rsidRDefault="00633F58" w:rsidP="00633F58">
      <w:pPr>
        <w:tabs>
          <w:tab w:val="left" w:pos="5448"/>
        </w:tabs>
        <w:autoSpaceDE w:val="0"/>
        <w:autoSpaceDN w:val="0"/>
        <w:adjustRightInd w:val="0"/>
        <w:spacing w:after="0" w:line="274" w:lineRule="exact"/>
        <w:ind w:left="0" w:firstLine="0"/>
        <w:jc w:val="left"/>
        <w:rPr>
          <w:rFonts w:eastAsiaTheme="minorEastAsia"/>
          <w:b/>
          <w:bCs/>
          <w:color w:val="auto"/>
          <w:position w:val="-3"/>
          <w:sz w:val="22"/>
        </w:rPr>
      </w:pPr>
      <w:r w:rsidRPr="00633F58">
        <w:rPr>
          <w:rFonts w:eastAsiaTheme="minorEastAsia"/>
          <w:b/>
          <w:bCs/>
          <w:color w:val="auto"/>
          <w:sz w:val="22"/>
        </w:rPr>
        <w:t>«___» ____ 2023 г.</w:t>
      </w:r>
    </w:p>
    <w:p w:rsidR="00633F58" w:rsidRPr="00633F58" w:rsidRDefault="00633F58" w:rsidP="00633F58">
      <w:pPr>
        <w:tabs>
          <w:tab w:val="left" w:leader="hyphen" w:pos="1906"/>
          <w:tab w:val="left" w:pos="5659"/>
          <w:tab w:val="left" w:leader="hyphen" w:pos="756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 w:val="22"/>
          <w:vertAlign w:val="superscript"/>
        </w:rPr>
      </w:pP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</w:pPr>
      <w:r w:rsidRPr="00633F58">
        <w:rPr>
          <w:b/>
          <w:color w:val="666666"/>
        </w:rPr>
        <w:t xml:space="preserve"> </w:t>
      </w: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  <w:rPr>
          <w:b/>
          <w:color w:val="666666"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  <w:color w:val="666666"/>
        </w:rPr>
      </w:pP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  <w:rPr>
          <w:b/>
          <w:color w:val="666666"/>
        </w:rPr>
      </w:pP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  <w:rPr>
          <w:b/>
          <w:color w:val="666666"/>
          <w:sz w:val="28"/>
        </w:rPr>
      </w:pP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  <w:rPr>
          <w:sz w:val="28"/>
        </w:rPr>
      </w:pPr>
      <w:r w:rsidRPr="00633F58">
        <w:rPr>
          <w:b/>
          <w:color w:val="666666"/>
          <w:sz w:val="28"/>
        </w:rPr>
        <w:t xml:space="preserve"> </w:t>
      </w:r>
    </w:p>
    <w:p w:rsidR="00633F58" w:rsidRPr="00633F58" w:rsidRDefault="00633F58" w:rsidP="00633F58">
      <w:pPr>
        <w:keepNext/>
        <w:keepLines/>
        <w:spacing w:after="0" w:line="276" w:lineRule="auto"/>
        <w:ind w:right="288" w:firstLine="0"/>
        <w:jc w:val="center"/>
        <w:outlineLvl w:val="0"/>
        <w:rPr>
          <w:b/>
          <w:sz w:val="28"/>
        </w:rPr>
      </w:pPr>
      <w:r w:rsidRPr="00633F58">
        <w:rPr>
          <w:b/>
          <w:sz w:val="32"/>
        </w:rPr>
        <w:t>ПОЛОЖЕНИЕ</w:t>
      </w:r>
      <w:r w:rsidRPr="00633F58">
        <w:rPr>
          <w:sz w:val="28"/>
        </w:rPr>
        <w:t xml:space="preserve"> </w:t>
      </w:r>
    </w:p>
    <w:p w:rsidR="00633F58" w:rsidRPr="00633F58" w:rsidRDefault="00633F58" w:rsidP="00633F58">
      <w:pPr>
        <w:spacing w:after="0" w:line="276" w:lineRule="auto"/>
        <w:ind w:left="79" w:right="361"/>
        <w:jc w:val="center"/>
        <w:rPr>
          <w:b/>
          <w:sz w:val="32"/>
        </w:rPr>
      </w:pPr>
      <w:bookmarkStart w:id="0" w:name="_GoBack"/>
      <w:r w:rsidRPr="00633F58">
        <w:rPr>
          <w:b/>
          <w:sz w:val="32"/>
        </w:rPr>
        <w:t xml:space="preserve">о комиссии по проверке </w:t>
      </w:r>
      <w:bookmarkEnd w:id="0"/>
      <w:r w:rsidRPr="00633F58">
        <w:rPr>
          <w:b/>
          <w:sz w:val="32"/>
        </w:rPr>
        <w:t>знаний требований охраны труда</w:t>
      </w:r>
    </w:p>
    <w:p w:rsidR="00633F58" w:rsidRPr="00633F58" w:rsidRDefault="00633F58" w:rsidP="00633F58">
      <w:pPr>
        <w:spacing w:after="0" w:line="276" w:lineRule="auto"/>
        <w:ind w:left="0" w:firstLine="0"/>
        <w:jc w:val="center"/>
        <w:rPr>
          <w:sz w:val="28"/>
        </w:rPr>
      </w:pPr>
      <w:r w:rsidRPr="00633F58">
        <w:rPr>
          <w:b/>
          <w:sz w:val="32"/>
        </w:rPr>
        <w:t>в муниципальном бюджетном общеобразовательном учреждении города Ростова-на-Дону «Школа № 65 с углубленным изучением английского языка имени Героя Советского Союза Московенко В.И.»</w:t>
      </w: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8B450F" w:rsidRDefault="008B450F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8B450F" w:rsidRDefault="008B450F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  <w:r>
        <w:rPr>
          <w:b/>
        </w:rPr>
        <w:t>2023</w:t>
      </w:r>
    </w:p>
    <w:p w:rsidR="00633F58" w:rsidRPr="00633F58" w:rsidRDefault="00633F58" w:rsidP="00633F58">
      <w:pPr>
        <w:spacing w:after="0" w:line="259" w:lineRule="auto"/>
        <w:ind w:left="0" w:right="228" w:firstLine="0"/>
        <w:jc w:val="center"/>
        <w:rPr>
          <w:b/>
        </w:rPr>
      </w:pPr>
    </w:p>
    <w:p w:rsidR="00541027" w:rsidRDefault="008B450F" w:rsidP="008B450F">
      <w:pPr>
        <w:numPr>
          <w:ilvl w:val="0"/>
          <w:numId w:val="1"/>
        </w:numPr>
        <w:spacing w:after="0" w:line="240" w:lineRule="auto"/>
        <w:ind w:hanging="240"/>
        <w:jc w:val="left"/>
      </w:pPr>
      <w:r>
        <w:rPr>
          <w:b/>
        </w:rPr>
        <w:lastRenderedPageBreak/>
        <w:t xml:space="preserve">Общие положения.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 xml:space="preserve">Положение о комиссии по проверке знаний требований охраны труда (далее </w:t>
      </w:r>
      <w:r>
        <w:t xml:space="preserve">Положение) разработано в соответствии с Трудовым кодексом Российской Федерации, Уставом образовательного учреждения и иными нормативными правовыми и локальными актами.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>Положение определяет задачи, функции, права и организацию работы комиссии по проверке з</w:t>
      </w:r>
      <w:r>
        <w:t xml:space="preserve">наний требований охраны труда (далее -комиссия).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>Комиссия является постоянно действующим коллегиальным органом образовательного учреждения, образованным в целях проведения проверки знаний требований охраны труда, работников, за исключением работников, про</w:t>
      </w:r>
      <w:r>
        <w:t xml:space="preserve">верка в отношении которых осуществляется обучающими организациями.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 xml:space="preserve"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 и Уставом образовательного </w:t>
      </w:r>
      <w:r>
        <w:t xml:space="preserve">учреждения. </w:t>
      </w:r>
    </w:p>
    <w:p w:rsidR="00541027" w:rsidRDefault="008B450F" w:rsidP="008B450F">
      <w:pPr>
        <w:numPr>
          <w:ilvl w:val="0"/>
          <w:numId w:val="1"/>
        </w:numPr>
        <w:spacing w:after="0" w:line="240" w:lineRule="auto"/>
        <w:ind w:right="-3" w:hanging="240"/>
        <w:jc w:val="left"/>
      </w:pPr>
      <w:r>
        <w:rPr>
          <w:b/>
        </w:rPr>
        <w:t xml:space="preserve">Задачи и функции комиссии.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 xml:space="preserve">Реализация единого порядка проверки знаний и требований охраны труда лиц, указанных в пункте 1.3 Положения (далее -работники).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 xml:space="preserve">Проведение проверки знаний требований охраны труда работников, а также </w:t>
      </w:r>
      <w:r>
        <w:t>проверки знаний по использованию (применению) средств индивидуальной защиты (список должностей, подлежащих обучению и проверке знаний использования (применения) средств индивидуальной защиты, утвержден приказом директора) при приеме их на работу (назначени</w:t>
      </w:r>
      <w:r>
        <w:t xml:space="preserve">и на должность) и переводе работников на другую работу. </w:t>
      </w:r>
    </w:p>
    <w:p w:rsidR="00541027" w:rsidRDefault="008B450F" w:rsidP="008B450F">
      <w:pPr>
        <w:numPr>
          <w:ilvl w:val="2"/>
          <w:numId w:val="1"/>
        </w:numPr>
        <w:spacing w:after="0" w:line="240" w:lineRule="auto"/>
        <w:ind w:right="-3" w:hanging="360"/>
      </w:pPr>
      <w:r>
        <w:t>Вновь принимаемые на работу работники, а также работники, переводимые на другую работу, проходят обучение требованиям охраны труда и использованию (применению) средств индивидуальной защиты (список д</w:t>
      </w:r>
      <w:r>
        <w:t xml:space="preserve">олжностей, подлежащих обучению и проверке знаний использования (применения) средств индивидуальной защиты, утвержден приказом директора) не позднее 60 календарных дней после заключения трудового договора или перевода на другую работу соответственно.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>Прове</w:t>
      </w:r>
      <w:r>
        <w:t>дение плановой проверки знаний требований охраны труда работников, а также проверки знаний по использованию (применению) средств индивидуальной защиты (список должностей, подлежащих обучению и проверке знаний использования (применения) средств индивидуальн</w:t>
      </w:r>
      <w:r>
        <w:t xml:space="preserve">ой защиты, утвержден приказом директора). </w:t>
      </w:r>
    </w:p>
    <w:p w:rsidR="00541027" w:rsidRDefault="008B450F" w:rsidP="008B450F">
      <w:pPr>
        <w:numPr>
          <w:ilvl w:val="2"/>
          <w:numId w:val="1"/>
        </w:numPr>
        <w:spacing w:after="0" w:line="240" w:lineRule="auto"/>
        <w:ind w:right="-3" w:hanging="360"/>
      </w:pPr>
      <w:r>
        <w:t>Все работники проходят обучение требованиям охраны труда и использованию (применению) средств индивидуальной защиты (список должностей, подлежащих обучению и проверке знаний использования (применения) средств инди</w:t>
      </w:r>
      <w:r>
        <w:t xml:space="preserve">видуальной защиты, утвержден приказом директора) с периодичностью не реже одного раза в 3 года. </w:t>
      </w:r>
    </w:p>
    <w:p w:rsidR="00541027" w:rsidRDefault="008B450F" w:rsidP="008B450F">
      <w:pPr>
        <w:numPr>
          <w:ilvl w:val="1"/>
          <w:numId w:val="1"/>
        </w:numPr>
        <w:spacing w:after="0" w:line="240" w:lineRule="auto"/>
        <w:ind w:right="-3" w:hanging="480"/>
      </w:pPr>
      <w:r>
        <w:t xml:space="preserve">Проведение внеплановой проверки знаний требований охраны труда работников. </w:t>
      </w:r>
    </w:p>
    <w:p w:rsidR="00541027" w:rsidRDefault="008B450F" w:rsidP="008B450F">
      <w:pPr>
        <w:numPr>
          <w:ilvl w:val="2"/>
          <w:numId w:val="1"/>
        </w:numPr>
        <w:spacing w:after="0" w:line="240" w:lineRule="auto"/>
        <w:ind w:right="-3" w:hanging="360"/>
      </w:pPr>
      <w:r>
        <w:t>Внеплановое обучение работников и проверка знаний требований охраны труда должно бы</w:t>
      </w:r>
      <w:r>
        <w:t xml:space="preserve">ть организовано в случаях: </w:t>
      </w:r>
    </w:p>
    <w:p w:rsidR="00541027" w:rsidRDefault="008B450F" w:rsidP="008B450F">
      <w:pPr>
        <w:spacing w:after="0" w:line="240" w:lineRule="auto"/>
        <w:ind w:left="730" w:right="-3"/>
      </w:pPr>
      <w:r>
        <w:t xml:space="preserve">а) вступление в силу нормативных правовых актов, содержащих государственные нормативные требования охраны труда; </w:t>
      </w:r>
    </w:p>
    <w:p w:rsidR="00541027" w:rsidRDefault="008B450F" w:rsidP="008B450F">
      <w:pPr>
        <w:spacing w:after="0" w:line="240" w:lineRule="auto"/>
        <w:ind w:left="715" w:right="-3"/>
        <w:jc w:val="left"/>
      </w:pPr>
      <w:r>
        <w:t>б) ввод в эксплуатацию нового вида оборудования, инструментов и приспособлений, введение новых технологических про</w:t>
      </w:r>
      <w:r>
        <w:t xml:space="preserve">цессов, а также использование нового вида сырья и материалов, требующих дополнительных знаний по охране труда у работников; </w:t>
      </w:r>
    </w:p>
    <w:p w:rsidR="00541027" w:rsidRDefault="008B450F" w:rsidP="008B450F">
      <w:pPr>
        <w:spacing w:after="0" w:line="240" w:lineRule="auto"/>
        <w:ind w:left="715" w:right="-3"/>
        <w:jc w:val="left"/>
      </w:pPr>
      <w:r>
        <w:t xml:space="preserve">в) требование должностных лиц федеральной инспекции труда, а также работодателя при установлении несоответствия программы обучения </w:t>
      </w:r>
      <w:r>
        <w:t xml:space="preserve">требованиям охраны труда требованиям охраны труда, содержащимся в нормативных правовых актах; </w:t>
      </w:r>
    </w:p>
    <w:p w:rsidR="00541027" w:rsidRDefault="008B450F" w:rsidP="008B450F">
      <w:pPr>
        <w:spacing w:after="0" w:line="240" w:lineRule="auto"/>
        <w:ind w:left="715" w:right="-3"/>
        <w:jc w:val="left"/>
      </w:pPr>
      <w:r>
        <w:t>г)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</w:t>
      </w:r>
      <w:r>
        <w:t xml:space="preserve">средственно связанных с осуществлением производственной деятельности, влияющих на безопасность труда.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lastRenderedPageBreak/>
        <w:t xml:space="preserve">Внеплановое обучение работников требованиям охраны труда должно быть организовано в случаях, указанных в </w:t>
      </w:r>
      <w:hyperlink r:id="rId5" w:anchor="7EK0KJ">
        <w:r>
          <w:t>подпунктах "а"</w:t>
        </w:r>
      </w:hyperlink>
      <w:hyperlink r:id="rId6" w:anchor="7EK0KJ">
        <w:r>
          <w:t>,</w:t>
        </w:r>
      </w:hyperlink>
      <w:r>
        <w:t xml:space="preserve"> </w:t>
      </w:r>
      <w:hyperlink r:id="rId7" w:anchor="7EM0KK">
        <w:r>
          <w:t>"б"</w:t>
        </w:r>
      </w:hyperlink>
      <w:hyperlink r:id="rId8" w:anchor="7EM0KK">
        <w:r>
          <w:t xml:space="preserve"> </w:t>
        </w:r>
      </w:hyperlink>
      <w:r>
        <w:t>и "г",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</w:t>
      </w:r>
      <w:r>
        <w:t>тах. Внеплановое обучение работников по основанию, предусмотренному подпунктом "а", проводится по требованию Министерства труда и социальной защиты Российской Федерации. Внеплановое обучение работников проводится в объеме требований охраны труда, послуживш</w:t>
      </w:r>
      <w:r>
        <w:t xml:space="preserve">их основанием для актуализации программ обучения после их актуализации.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t>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</w:t>
      </w:r>
      <w:r>
        <w:t xml:space="preserve">изированным программам обучения.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t xml:space="preserve">Обучение работников требованиям охраны труда и проверка знания требований охраны труда осуществляются с отрывом от работы.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t>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</w:t>
      </w:r>
      <w:r>
        <w:t xml:space="preserve">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</w:t>
      </w:r>
      <w:r>
        <w:t xml:space="preserve">участие обучающихся в интернет-конференциях, </w:t>
      </w:r>
      <w:proofErr w:type="spellStart"/>
      <w:r>
        <w:t>вебинарах</w:t>
      </w:r>
      <w:proofErr w:type="spellEnd"/>
      <w:r>
        <w:t>, а также администрирование процесса обучения требованиям охраны труда на основе использования компьютеров и информационно-</w:t>
      </w:r>
      <w:r>
        <w:t xml:space="preserve">телекоммуникационной сети "Интернет". </w:t>
      </w:r>
    </w:p>
    <w:p w:rsidR="00541027" w:rsidRDefault="008B450F" w:rsidP="008B450F">
      <w:pPr>
        <w:spacing w:after="0" w:line="240" w:lineRule="auto"/>
        <w:ind w:left="730" w:right="-3"/>
      </w:pPr>
      <w:r>
        <w:t>2.5. Проведение проверки знаний требовани</w:t>
      </w:r>
      <w:r>
        <w:t xml:space="preserve">й охраны труда работников после проведения инструктажей по охране труда. 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t xml:space="preserve">Инструктаж по охране труда на рабочем месте проводится непосредственным руководителем работника. Целевой инструктаж по охране труда проводится непосредственным руководителем работ. </w:t>
      </w:r>
      <w:r>
        <w:t>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</w:t>
      </w:r>
      <w:r>
        <w:t xml:space="preserve">й оценки условий труда и оценки профессиональных рисков.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t xml:space="preserve">Инструктаж по охране труда заканчивается проверкой знаний требований охраны труда. </w:t>
      </w:r>
    </w:p>
    <w:p w:rsidR="00541027" w:rsidRDefault="008B450F" w:rsidP="008B450F">
      <w:pPr>
        <w:numPr>
          <w:ilvl w:val="0"/>
          <w:numId w:val="2"/>
        </w:numPr>
        <w:spacing w:after="0" w:line="240" w:lineRule="auto"/>
        <w:ind w:right="-3" w:hanging="360"/>
      </w:pPr>
      <w:r>
        <w:t>Результаты проведения инструктажа по охране труда оформляются в соответствии с требованиями, установленными в п.4.</w:t>
      </w:r>
      <w:r>
        <w:t xml:space="preserve">5. настоящего Положения. </w:t>
      </w:r>
    </w:p>
    <w:p w:rsidR="00541027" w:rsidRDefault="008B450F" w:rsidP="008B450F">
      <w:pPr>
        <w:numPr>
          <w:ilvl w:val="0"/>
          <w:numId w:val="3"/>
        </w:numPr>
        <w:spacing w:after="0" w:line="240" w:lineRule="auto"/>
        <w:ind w:right="-3" w:hanging="240"/>
        <w:jc w:val="left"/>
      </w:pPr>
      <w:r>
        <w:rPr>
          <w:b/>
        </w:rPr>
        <w:t xml:space="preserve">Права комиссии: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 xml:space="preserve">Запрашивать и получать от органов государственной власти, государственных органов, органов местного самоуправления, муниципальных органов документы и информацию, необходимые для реализации возложенных на комиссию </w:t>
      </w:r>
      <w:r>
        <w:t xml:space="preserve">задач и функций.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>Приглашать и заслушивать на заседаниях комиссии представителей органов государственной власти, государственных органов, органов местного самоуправления, муниципальных органов, граждан и организаций по вопросам, входящим в компетенцию коми</w:t>
      </w:r>
      <w:r>
        <w:t xml:space="preserve">ссии.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>Привлекать к деятельности комиссии организации и отдельных специалистов для проведения совещаний, разработки документов в рамках деятельности комиссии.</w:t>
      </w:r>
      <w:r>
        <w:rPr>
          <w:sz w:val="20"/>
        </w:rPr>
        <w:t xml:space="preserve"> </w:t>
      </w:r>
    </w:p>
    <w:p w:rsidR="00541027" w:rsidRDefault="008B450F" w:rsidP="008B450F">
      <w:pPr>
        <w:numPr>
          <w:ilvl w:val="0"/>
          <w:numId w:val="3"/>
        </w:numPr>
        <w:spacing w:after="0" w:line="240" w:lineRule="auto"/>
        <w:ind w:right="-3" w:hanging="240"/>
        <w:jc w:val="left"/>
      </w:pPr>
      <w:r>
        <w:rPr>
          <w:b/>
        </w:rPr>
        <w:t xml:space="preserve">Порядок деятельности комиссии: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>Создание Комиссии и утверждение ее состава осуществляется приказ</w:t>
      </w:r>
      <w:r>
        <w:t xml:space="preserve">ом директора. Комиссия формируется в количестве не менее трех человек, прошедших обучение по охране труда и проверку знаний требований охраны труда.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>Комиссию возглавляет председатель, в отсутствие председателя его полномочия исполняет заместитель председа</w:t>
      </w:r>
      <w:r>
        <w:t xml:space="preserve">теля.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 xml:space="preserve">Комиссия осуществляет свою деятельность в форме заседаний. Заседания комиссии проводятся по мере необходимости.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lastRenderedPageBreak/>
        <w:t>Заседание комиссии считается правомочным, если на нем присутствует не менее трех членов комиссии с обязательным присутствием председател</w:t>
      </w:r>
      <w:r>
        <w:t xml:space="preserve">я комиссии, либо заместителя председателя комиссии. </w:t>
      </w:r>
    </w:p>
    <w:p w:rsidR="00541027" w:rsidRDefault="008B450F" w:rsidP="008B450F">
      <w:pPr>
        <w:numPr>
          <w:ilvl w:val="1"/>
          <w:numId w:val="3"/>
        </w:numPr>
        <w:spacing w:after="0" w:line="240" w:lineRule="auto"/>
        <w:ind w:right="-3"/>
      </w:pPr>
      <w:r>
        <w:t xml:space="preserve">Решения комиссии принимаются открытым голосованием простым большинством голосов присутствующих на заседании членов комиссии. Оформляются решения комиссии протоколом заседания комиссии (форма протокола – </w:t>
      </w:r>
      <w:r>
        <w:t xml:space="preserve">приложение 1).  </w:t>
      </w:r>
    </w:p>
    <w:p w:rsidR="00541027" w:rsidRDefault="008B450F" w:rsidP="008B450F">
      <w:pPr>
        <w:spacing w:after="0" w:line="240" w:lineRule="auto"/>
        <w:ind w:left="-5" w:right="-3"/>
      </w:pPr>
      <w:r>
        <w:t xml:space="preserve">Председатель комиссии: </w:t>
      </w:r>
    </w:p>
    <w:p w:rsidR="00541027" w:rsidRDefault="008B450F" w:rsidP="008B450F">
      <w:pPr>
        <w:spacing w:after="0" w:line="240" w:lineRule="auto"/>
        <w:ind w:left="-5" w:right="-3"/>
      </w:pPr>
      <w:r>
        <w:t xml:space="preserve">-осуществляет руководство работой комиссии; </w:t>
      </w:r>
    </w:p>
    <w:p w:rsidR="00541027" w:rsidRDefault="008B450F" w:rsidP="008B450F">
      <w:pPr>
        <w:spacing w:after="0" w:line="240" w:lineRule="auto"/>
        <w:ind w:left="-5" w:right="-3"/>
      </w:pPr>
      <w:r>
        <w:t xml:space="preserve">-планирует работу комиссии; </w:t>
      </w:r>
    </w:p>
    <w:p w:rsidR="00541027" w:rsidRDefault="008B450F" w:rsidP="008B450F">
      <w:pPr>
        <w:spacing w:after="0" w:line="240" w:lineRule="auto"/>
        <w:ind w:left="-5" w:right="-3"/>
      </w:pPr>
      <w:r>
        <w:t xml:space="preserve">-определяет дату, время и место проведения заседания комиссии; </w:t>
      </w:r>
    </w:p>
    <w:p w:rsidR="00541027" w:rsidRDefault="008B450F" w:rsidP="008B450F">
      <w:pPr>
        <w:spacing w:after="0" w:line="240" w:lineRule="auto"/>
        <w:ind w:left="-5" w:right="-3"/>
      </w:pPr>
      <w:r>
        <w:t>-утверждает повестку дня заседания комиссии и председательствует на заседания</w:t>
      </w:r>
      <w:r>
        <w:t xml:space="preserve">х комиссии; </w:t>
      </w:r>
    </w:p>
    <w:p w:rsidR="00541027" w:rsidRDefault="008B450F" w:rsidP="008B450F">
      <w:pPr>
        <w:spacing w:after="0" w:line="240" w:lineRule="auto"/>
        <w:ind w:left="-5" w:right="-3"/>
      </w:pPr>
      <w:r>
        <w:t xml:space="preserve">-подписывает протоколы заседания комиссии; </w:t>
      </w:r>
    </w:p>
    <w:p w:rsidR="008B450F" w:rsidRDefault="008B450F" w:rsidP="008B450F">
      <w:pPr>
        <w:spacing w:after="0" w:line="240" w:lineRule="auto"/>
        <w:ind w:left="-5" w:right="-3"/>
      </w:pPr>
      <w:r>
        <w:t xml:space="preserve">-осуществляет иные полномочия в целях реализации основных задач и функций комиссии. </w:t>
      </w:r>
    </w:p>
    <w:p w:rsidR="00541027" w:rsidRDefault="008B450F" w:rsidP="008B450F">
      <w:pPr>
        <w:spacing w:after="0" w:line="240" w:lineRule="auto"/>
        <w:ind w:left="-5" w:right="-3" w:firstLine="713"/>
      </w:pPr>
      <w:r>
        <w:t xml:space="preserve">4.6. Члены комиссии: </w:t>
      </w:r>
    </w:p>
    <w:p w:rsidR="00541027" w:rsidRDefault="008B450F" w:rsidP="008B450F">
      <w:pPr>
        <w:spacing w:after="0" w:line="240" w:lineRule="auto"/>
        <w:ind w:left="-5" w:right="-3"/>
      </w:pPr>
      <w:r>
        <w:t xml:space="preserve">-готовит рабочие материалы для заседаний комиссии (билеты, протоколы заседаний комиссии); </w:t>
      </w:r>
    </w:p>
    <w:p w:rsidR="00541027" w:rsidRDefault="008B450F" w:rsidP="008B450F">
      <w:pPr>
        <w:numPr>
          <w:ilvl w:val="0"/>
          <w:numId w:val="4"/>
        </w:numPr>
        <w:spacing w:after="0" w:line="240" w:lineRule="auto"/>
        <w:ind w:right="-3" w:hanging="139"/>
      </w:pPr>
      <w:r>
        <w:t>вз</w:t>
      </w:r>
      <w:r>
        <w:t xml:space="preserve">аимодействует с членами комиссии и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комиссии; </w:t>
      </w:r>
    </w:p>
    <w:p w:rsidR="00541027" w:rsidRDefault="008B450F" w:rsidP="008B450F">
      <w:pPr>
        <w:numPr>
          <w:ilvl w:val="0"/>
          <w:numId w:val="4"/>
        </w:numPr>
        <w:spacing w:after="0" w:line="240" w:lineRule="auto"/>
        <w:ind w:right="-3" w:hanging="139"/>
      </w:pPr>
      <w:r>
        <w:t>ведут и оформляют протоколы заседаний</w:t>
      </w:r>
      <w:r>
        <w:t xml:space="preserve"> комиссии; </w:t>
      </w:r>
    </w:p>
    <w:p w:rsidR="00541027" w:rsidRDefault="008B450F" w:rsidP="008B450F">
      <w:pPr>
        <w:numPr>
          <w:ilvl w:val="0"/>
          <w:numId w:val="4"/>
        </w:numPr>
        <w:spacing w:after="0" w:line="240" w:lineRule="auto"/>
        <w:ind w:right="-3" w:hanging="139"/>
      </w:pPr>
      <w:r>
        <w:t xml:space="preserve">осуществляют иные организационные функции, необходимые для обеспечения деятельности комиссии. </w:t>
      </w:r>
    </w:p>
    <w:p w:rsidR="00541027" w:rsidRDefault="008B450F" w:rsidP="008B450F">
      <w:pPr>
        <w:spacing w:after="0" w:line="240" w:lineRule="auto"/>
        <w:ind w:left="-5" w:right="-3" w:firstLine="713"/>
      </w:pPr>
      <w:r>
        <w:t>4.7. Работникам, прошедшим проверку знаний требований охраны труда, выдача удостоверений о проверке знаний требований охраны труда не предусмотрена.</w:t>
      </w:r>
    </w:p>
    <w:p w:rsidR="00541027" w:rsidRDefault="00541027" w:rsidP="00633F58">
      <w:pPr>
        <w:ind w:left="0" w:firstLine="0"/>
        <w:sectPr w:rsidR="00541027" w:rsidSect="008B450F">
          <w:pgSz w:w="11906" w:h="16838"/>
          <w:pgMar w:top="851" w:right="566" w:bottom="993" w:left="1134" w:header="720" w:footer="720" w:gutter="0"/>
          <w:cols w:space="720"/>
        </w:sectPr>
      </w:pPr>
    </w:p>
    <w:p w:rsidR="00541027" w:rsidRDefault="008B450F" w:rsidP="00633F58">
      <w:pPr>
        <w:spacing w:after="0" w:line="259" w:lineRule="auto"/>
        <w:ind w:left="0" w:firstLine="0"/>
      </w:pPr>
      <w:r>
        <w:lastRenderedPageBreak/>
        <w:t xml:space="preserve"> </w:t>
      </w:r>
    </w:p>
    <w:sectPr w:rsidR="00541027" w:rsidSect="00633F58">
      <w:pgSz w:w="16838" w:h="11906" w:orient="landscape"/>
      <w:pgMar w:top="288" w:right="1073" w:bottom="10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4DC9"/>
    <w:multiLevelType w:val="hybridMultilevel"/>
    <w:tmpl w:val="DF240D0E"/>
    <w:lvl w:ilvl="0" w:tplc="43E2B3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E75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89B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EA3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81F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42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3F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857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A6F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260B9"/>
    <w:multiLevelType w:val="multilevel"/>
    <w:tmpl w:val="D034010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8473D3"/>
    <w:multiLevelType w:val="hybridMultilevel"/>
    <w:tmpl w:val="58BC82BA"/>
    <w:lvl w:ilvl="0" w:tplc="785A79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C4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8A2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08A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013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E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276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459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CDF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437981"/>
    <w:multiLevelType w:val="multilevel"/>
    <w:tmpl w:val="5DF03BD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7"/>
    <w:rsid w:val="00541027"/>
    <w:rsid w:val="00633F58"/>
    <w:rsid w:val="008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F2C8"/>
  <w15:docId w15:val="{EED17279-6BC0-4EC4-A1E0-0516832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688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688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688582" TargetMode="External"/><Relationship Id="rId5" Type="http://schemas.openxmlformats.org/officeDocument/2006/relationships/hyperlink" Target="https://docs.cntd.ru/document/727688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2023-11-29T12:32:00Z</dcterms:created>
  <dcterms:modified xsi:type="dcterms:W3CDTF">2023-11-29T12:32:00Z</dcterms:modified>
</cp:coreProperties>
</file>