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71" w:tblpY="1136"/>
        <w:tblW w:w="99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977"/>
        <w:gridCol w:w="4032"/>
      </w:tblGrid>
      <w:tr w14:paraId="74F1D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943" w:type="dxa"/>
          </w:tcPr>
          <w:p w14:paraId="363FAB19">
            <w:pPr>
              <w:pStyle w:val="9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ПРИНЯТО</w:t>
            </w:r>
          </w:p>
          <w:p w14:paraId="048FF05D">
            <w:pPr>
              <w:pStyle w:val="9"/>
              <w:tabs>
                <w:tab w:val="left" w:pos="3352"/>
              </w:tabs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на заседании</w:t>
            </w:r>
          </w:p>
          <w:p w14:paraId="75406BD0">
            <w:pPr>
              <w:pStyle w:val="9"/>
              <w:tabs>
                <w:tab w:val="left" w:pos="3352"/>
              </w:tabs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Педагогического совета</w:t>
            </w:r>
          </w:p>
          <w:p w14:paraId="6C0C4698">
            <w:pPr>
              <w:pStyle w:val="9"/>
              <w:rPr>
                <w:b w:val="0"/>
                <w:sz w:val="26"/>
              </w:rPr>
            </w:pPr>
          </w:p>
          <w:p w14:paraId="78A6AB9D">
            <w:pPr>
              <w:pStyle w:val="9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протокол</w:t>
            </w:r>
          </w:p>
          <w:p w14:paraId="5D6C77D3">
            <w:pPr>
              <w:pStyle w:val="9"/>
              <w:rPr>
                <w:b w:val="0"/>
                <w:bCs w:val="0"/>
                <w:sz w:val="26"/>
              </w:rPr>
            </w:pPr>
            <w:r>
              <w:rPr>
                <w:b w:val="0"/>
                <w:sz w:val="26"/>
              </w:rPr>
              <w:t>от 15.07.2024 № 16</w:t>
            </w:r>
          </w:p>
          <w:p w14:paraId="057B876A">
            <w:pPr>
              <w:pStyle w:val="9"/>
              <w:ind w:right="-192"/>
              <w:rPr>
                <w:b w:val="0"/>
                <w:sz w:val="26"/>
              </w:rPr>
            </w:pPr>
          </w:p>
        </w:tc>
        <w:tc>
          <w:tcPr>
            <w:tcW w:w="2977" w:type="dxa"/>
          </w:tcPr>
          <w:p w14:paraId="59FD34D4">
            <w:pPr>
              <w:pStyle w:val="9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РАССМОТРЕНО</w:t>
            </w:r>
          </w:p>
          <w:p w14:paraId="2A1F7AAE">
            <w:pPr>
              <w:pStyle w:val="9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Советом школы</w:t>
            </w:r>
          </w:p>
          <w:p w14:paraId="3286B0C8">
            <w:pPr>
              <w:pStyle w:val="9"/>
              <w:rPr>
                <w:b w:val="0"/>
                <w:sz w:val="26"/>
              </w:rPr>
            </w:pPr>
          </w:p>
          <w:p w14:paraId="2C76C64E">
            <w:pPr>
              <w:pStyle w:val="9"/>
              <w:rPr>
                <w:b w:val="0"/>
                <w:sz w:val="26"/>
              </w:rPr>
            </w:pPr>
          </w:p>
          <w:p w14:paraId="5962915A">
            <w:pPr>
              <w:pStyle w:val="9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протокол</w:t>
            </w:r>
          </w:p>
          <w:p w14:paraId="0CD56F89">
            <w:pPr>
              <w:pStyle w:val="9"/>
              <w:rPr>
                <w:b w:val="0"/>
                <w:bCs w:val="0"/>
                <w:sz w:val="26"/>
              </w:rPr>
            </w:pPr>
            <w:r>
              <w:rPr>
                <w:b w:val="0"/>
                <w:sz w:val="26"/>
              </w:rPr>
              <w:t>от 15.07.2024 № 01</w:t>
            </w:r>
          </w:p>
          <w:p w14:paraId="36B0AF6C">
            <w:pPr>
              <w:pStyle w:val="9"/>
              <w:rPr>
                <w:b w:val="0"/>
                <w:sz w:val="26"/>
              </w:rPr>
            </w:pPr>
          </w:p>
        </w:tc>
        <w:tc>
          <w:tcPr>
            <w:tcW w:w="4032" w:type="dxa"/>
          </w:tcPr>
          <w:p w14:paraId="1C107034">
            <w:pPr>
              <w:pStyle w:val="9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УТВЕРЖДЕНО</w:t>
            </w:r>
          </w:p>
          <w:p w14:paraId="664D9A79">
            <w:pPr>
              <w:pStyle w:val="9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Директор МБОУ «Школа № 65»</w:t>
            </w:r>
          </w:p>
          <w:p w14:paraId="401D705A">
            <w:pPr>
              <w:pStyle w:val="9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__________   М.В.Бут</w:t>
            </w:r>
          </w:p>
          <w:p w14:paraId="4453E406">
            <w:pPr>
              <w:pStyle w:val="9"/>
              <w:rPr>
                <w:b w:val="0"/>
                <w:sz w:val="26"/>
              </w:rPr>
            </w:pPr>
          </w:p>
          <w:p w14:paraId="4C951980">
            <w:pPr>
              <w:pStyle w:val="9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приказ от 19.07.2024 №  236</w:t>
            </w:r>
          </w:p>
          <w:p w14:paraId="357EFEF8">
            <w:pPr>
              <w:pStyle w:val="9"/>
              <w:rPr>
                <w:b w:val="0"/>
                <w:sz w:val="26"/>
              </w:rPr>
            </w:pPr>
          </w:p>
        </w:tc>
      </w:tr>
    </w:tbl>
    <w:p w14:paraId="0045F1C9">
      <w:pPr>
        <w:jc w:val="both"/>
      </w:pPr>
    </w:p>
    <w:p w14:paraId="68F5C6E8">
      <w:pPr>
        <w:jc w:val="both"/>
      </w:pPr>
    </w:p>
    <w:p w14:paraId="7E646403">
      <w:pPr>
        <w:jc w:val="both"/>
      </w:pPr>
    </w:p>
    <w:p w14:paraId="6592A6EF">
      <w:pPr>
        <w:jc w:val="both"/>
      </w:pPr>
    </w:p>
    <w:p w14:paraId="3DF01CDA">
      <w:pPr>
        <w:jc w:val="both"/>
      </w:pPr>
    </w:p>
    <w:p w14:paraId="12BBCBC2">
      <w:pPr>
        <w:jc w:val="both"/>
      </w:pPr>
    </w:p>
    <w:p w14:paraId="2A2FD326">
      <w:pPr>
        <w:jc w:val="both"/>
      </w:pPr>
    </w:p>
    <w:p w14:paraId="5132839B">
      <w:pPr>
        <w:jc w:val="both"/>
      </w:pPr>
    </w:p>
    <w:p w14:paraId="1238B7F0">
      <w:pPr>
        <w:jc w:val="both"/>
      </w:pPr>
    </w:p>
    <w:p w14:paraId="69FD7C4B">
      <w:pPr>
        <w:rPr>
          <w:b/>
          <w:sz w:val="72"/>
          <w:szCs w:val="52"/>
        </w:rPr>
      </w:pPr>
      <w:r>
        <w:rPr>
          <w:b/>
          <w:sz w:val="72"/>
          <w:szCs w:val="52"/>
        </w:rPr>
        <w:t>ПРАВИЛА</w:t>
      </w:r>
    </w:p>
    <w:p w14:paraId="1F09178C">
      <w:pPr>
        <w:rPr>
          <w:b/>
          <w:sz w:val="72"/>
          <w:szCs w:val="52"/>
        </w:rPr>
      </w:pPr>
      <w:r>
        <w:rPr>
          <w:b/>
          <w:sz w:val="72"/>
          <w:szCs w:val="52"/>
        </w:rPr>
        <w:t>обмена деловыми подарками и знаками делового гостеприимства</w:t>
      </w:r>
    </w:p>
    <w:p w14:paraId="3A349FF0">
      <w:pPr>
        <w:rPr>
          <w:b/>
          <w:sz w:val="72"/>
          <w:szCs w:val="52"/>
        </w:rPr>
      </w:pPr>
      <w:r>
        <w:rPr>
          <w:b/>
          <w:sz w:val="72"/>
          <w:szCs w:val="52"/>
        </w:rPr>
        <w:t>в МБОУ «Школа № 65»</w:t>
      </w:r>
    </w:p>
    <w:p w14:paraId="48604CD2">
      <w:pPr>
        <w:rPr>
          <w:b/>
          <w:sz w:val="72"/>
          <w:szCs w:val="52"/>
        </w:rPr>
      </w:pPr>
    </w:p>
    <w:p w14:paraId="43E9F605"/>
    <w:p w14:paraId="564D1158"/>
    <w:p w14:paraId="08A8B3C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350130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CABAD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64CFC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9E81C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02A85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DF4F7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79FCC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E96A09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99595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2951CF">
      <w:pPr>
        <w:ind w:firstLine="708"/>
        <w:rPr>
          <w:b/>
        </w:rPr>
      </w:pPr>
      <w:r>
        <w:rPr>
          <w:b/>
        </w:rPr>
        <w:t>г. Ростов-на-Дону</w:t>
      </w:r>
    </w:p>
    <w:p w14:paraId="4C253032">
      <w:pPr>
        <w:ind w:firstLine="708"/>
        <w:rPr>
          <w:b/>
        </w:rPr>
      </w:pPr>
      <w:r>
        <w:rPr>
          <w:b/>
        </w:rPr>
        <w:t>2024 год</w:t>
      </w:r>
    </w:p>
    <w:p w14:paraId="2A4F4FB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1E0D168">
      <w:pPr>
        <w:pStyle w:val="12"/>
        <w:numPr>
          <w:ilvl w:val="0"/>
          <w:numId w:val="1"/>
        </w:numPr>
        <w:spacing w:line="216" w:lineRule="auto"/>
        <w:ind w:left="714" w:hanging="357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Общие положения</w:t>
      </w:r>
    </w:p>
    <w:p w14:paraId="6C2FBB6D">
      <w:pPr>
        <w:pStyle w:val="12"/>
        <w:spacing w:line="216" w:lineRule="auto"/>
        <w:ind w:left="357"/>
        <w:jc w:val="both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68F9299">
      <w:pPr>
        <w:spacing w:line="237" w:lineRule="auto"/>
        <w:ind w:left="40" w:right="160"/>
        <w:jc w:val="both"/>
        <w:rPr>
          <w:sz w:val="20"/>
          <w:szCs w:val="20"/>
        </w:rPr>
      </w:pPr>
      <w:r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1</w:t>
      </w:r>
      <w:r>
        <w:rPr>
          <w:sz w:val="24"/>
          <w:szCs w:val="24"/>
        </w:rPr>
        <w:t>.1 Правила, регламентирующие вопросы обмена деловыми подарками и знаками делового гостеприимства (далее - Правила) разработаны для работников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МБОУ «Школа № 65» (далее – Школа) разработаны в соответствии с положениями Федерального закона от 25.12.2008 г. № 273-ФЗ «О противодействии коррупции», Кодексом профессиональной этики педагогических работников и основан на общепризнанных нравственных принципах и нормах российского общества и государства.</w:t>
      </w:r>
    </w:p>
    <w:p w14:paraId="4B199D3A">
      <w:pPr>
        <w:spacing w:line="6" w:lineRule="exact"/>
        <w:jc w:val="both"/>
        <w:rPr>
          <w:sz w:val="24"/>
          <w:szCs w:val="24"/>
        </w:rPr>
      </w:pPr>
    </w:p>
    <w:p w14:paraId="5612402D">
      <w:pPr>
        <w:ind w:left="40"/>
        <w:jc w:val="both"/>
        <w:rPr>
          <w:sz w:val="20"/>
          <w:szCs w:val="20"/>
        </w:rPr>
      </w:pPr>
      <w:r>
        <w:rPr>
          <w:sz w:val="24"/>
          <w:szCs w:val="24"/>
        </w:rPr>
        <w:t>1.2. Действие настоящих Правил распространяется на всех работников Школы.</w:t>
      </w:r>
    </w:p>
    <w:p w14:paraId="708566BE">
      <w:pPr>
        <w:ind w:left="40"/>
        <w:jc w:val="both"/>
        <w:rPr>
          <w:sz w:val="20"/>
          <w:szCs w:val="20"/>
        </w:rPr>
      </w:pPr>
      <w:r>
        <w:rPr>
          <w:sz w:val="24"/>
          <w:szCs w:val="24"/>
        </w:rPr>
        <w:t>1.3. Целями Правил являются:</w:t>
      </w:r>
    </w:p>
    <w:p w14:paraId="078446CC">
      <w:pPr>
        <w:spacing w:line="12" w:lineRule="exact"/>
        <w:jc w:val="both"/>
        <w:rPr>
          <w:sz w:val="24"/>
          <w:szCs w:val="24"/>
        </w:rPr>
      </w:pPr>
    </w:p>
    <w:p w14:paraId="2E85CC19">
      <w:pPr>
        <w:numPr>
          <w:ilvl w:val="0"/>
          <w:numId w:val="2"/>
        </w:numPr>
        <w:tabs>
          <w:tab w:val="left" w:pos="199"/>
        </w:tabs>
        <w:spacing w:line="237" w:lineRule="auto"/>
        <w:ind w:left="40" w:right="180" w:hanging="7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единообразного понимания роли и места деловых подарков, как инструмента для установления и поддержания деловых отношений, корпоративного гостеприимства, представительских мероприятий и как проявление общепринятой вежливости в ходе осуществления Школой своей деятельности;</w:t>
      </w:r>
    </w:p>
    <w:p w14:paraId="302C8A92">
      <w:pPr>
        <w:spacing w:line="13" w:lineRule="exact"/>
        <w:jc w:val="both"/>
        <w:rPr>
          <w:sz w:val="24"/>
          <w:szCs w:val="24"/>
        </w:rPr>
      </w:pPr>
    </w:p>
    <w:p w14:paraId="2CAB5F05">
      <w:pPr>
        <w:numPr>
          <w:ilvl w:val="0"/>
          <w:numId w:val="2"/>
        </w:numPr>
        <w:tabs>
          <w:tab w:val="left" w:pos="206"/>
        </w:tabs>
        <w:spacing w:line="236" w:lineRule="auto"/>
        <w:ind w:left="40" w:right="180" w:hanging="7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хозяйственной и образовательной деятельности Школы исключительно на основе надлежащих норм и правил делового поведения, базирующихся на принципах защиты конкуренции. качества товаров, работ, услуг, недопущения конфликта интересов:</w:t>
      </w:r>
    </w:p>
    <w:p w14:paraId="50A52DD2">
      <w:pPr>
        <w:spacing w:line="13" w:lineRule="exact"/>
        <w:jc w:val="both"/>
        <w:rPr>
          <w:sz w:val="24"/>
          <w:szCs w:val="24"/>
        </w:rPr>
      </w:pPr>
    </w:p>
    <w:p w14:paraId="22DA349D">
      <w:pPr>
        <w:numPr>
          <w:ilvl w:val="0"/>
          <w:numId w:val="2"/>
        </w:numPr>
        <w:tabs>
          <w:tab w:val="left" w:pos="249"/>
        </w:tabs>
        <w:spacing w:line="234" w:lineRule="auto"/>
        <w:ind w:left="40" w:right="180" w:hanging="7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единых для всех работников Школы требований к дарению и принятию деловых подарков, к организации и участию в представительских мероприятиях;</w:t>
      </w:r>
    </w:p>
    <w:p w14:paraId="5BA701F4">
      <w:pPr>
        <w:spacing w:line="14" w:lineRule="exact"/>
        <w:jc w:val="both"/>
        <w:rPr>
          <w:sz w:val="24"/>
          <w:szCs w:val="24"/>
        </w:rPr>
      </w:pPr>
    </w:p>
    <w:p w14:paraId="7899EEF5">
      <w:pPr>
        <w:numPr>
          <w:ilvl w:val="0"/>
          <w:numId w:val="2"/>
        </w:numPr>
        <w:tabs>
          <w:tab w:val="left" w:pos="328"/>
        </w:tabs>
        <w:spacing w:line="236" w:lineRule="auto"/>
        <w:ind w:left="40" w:right="160" w:hanging="7"/>
        <w:jc w:val="both"/>
        <w:rPr>
          <w:sz w:val="24"/>
          <w:szCs w:val="24"/>
        </w:rPr>
      </w:pPr>
      <w:r>
        <w:rPr>
          <w:sz w:val="24"/>
          <w:szCs w:val="24"/>
        </w:rPr>
        <w:t>минимизирование рисков, связанных с возможным злоупотреблением служебным положением при дарении или получении подарков, при участии или проведении представительских мероприятий.</w:t>
      </w:r>
    </w:p>
    <w:p w14:paraId="12E1F818">
      <w:pPr>
        <w:spacing w:line="13" w:lineRule="exact"/>
        <w:jc w:val="both"/>
        <w:rPr>
          <w:sz w:val="24"/>
          <w:szCs w:val="24"/>
        </w:rPr>
      </w:pPr>
    </w:p>
    <w:p w14:paraId="45D5B2E0">
      <w:pPr>
        <w:spacing w:line="236" w:lineRule="auto"/>
        <w:ind w:left="40" w:right="180"/>
        <w:jc w:val="both"/>
        <w:rPr>
          <w:sz w:val="24"/>
          <w:szCs w:val="24"/>
        </w:rPr>
      </w:pPr>
      <w:r>
        <w:rPr>
          <w:sz w:val="24"/>
          <w:szCs w:val="24"/>
        </w:rPr>
        <w:t>1.4. Школа исходит из того, что долговременные деловые отношения, основанные на доверии, взаимном уважении, взаимной выгоде, играют ключевую роль в достижении успеха Школы.</w:t>
      </w:r>
    </w:p>
    <w:p w14:paraId="2F96417C">
      <w:pPr>
        <w:spacing w:line="13" w:lineRule="exact"/>
        <w:jc w:val="both"/>
        <w:rPr>
          <w:sz w:val="24"/>
          <w:szCs w:val="24"/>
        </w:rPr>
      </w:pPr>
    </w:p>
    <w:p w14:paraId="29F86171">
      <w:pPr>
        <w:spacing w:line="237" w:lineRule="auto"/>
        <w:ind w:left="40" w:right="160"/>
        <w:jc w:val="both"/>
        <w:rPr>
          <w:sz w:val="24"/>
          <w:szCs w:val="24"/>
        </w:rPr>
      </w:pPr>
      <w:r>
        <w:rPr>
          <w:sz w:val="24"/>
          <w:szCs w:val="24"/>
        </w:rPr>
        <w:t>1.5. Отношения, при которых нарушается закон и принципы деловой этики вредят репутации Школы и честному имени её работников и не могут обеспечить устойчивое долговременное развитие Школы. Такого рода отношения не могут быть приемлемы в практике работы Школы.</w:t>
      </w:r>
    </w:p>
    <w:p w14:paraId="564A0766">
      <w:pPr>
        <w:spacing w:line="13" w:lineRule="exact"/>
        <w:jc w:val="both"/>
        <w:rPr>
          <w:sz w:val="24"/>
          <w:szCs w:val="24"/>
        </w:rPr>
      </w:pPr>
    </w:p>
    <w:p w14:paraId="12913E97">
      <w:pPr>
        <w:spacing w:line="236" w:lineRule="auto"/>
        <w:ind w:left="40" w:right="180"/>
        <w:jc w:val="both"/>
        <w:rPr>
          <w:sz w:val="24"/>
          <w:szCs w:val="24"/>
        </w:rPr>
      </w:pPr>
      <w:r>
        <w:rPr>
          <w:sz w:val="24"/>
          <w:szCs w:val="24"/>
        </w:rPr>
        <w:t>1.6. Работникам, представляющим интересы Школы или действующим от её имени, важно понимать границы допустимого поведения при обмене деловыми подарками и оказании делового гостеприимства.</w:t>
      </w:r>
    </w:p>
    <w:p w14:paraId="3C1997CB">
      <w:pPr>
        <w:spacing w:line="14" w:lineRule="exact"/>
        <w:jc w:val="both"/>
        <w:rPr>
          <w:sz w:val="24"/>
          <w:szCs w:val="24"/>
        </w:rPr>
      </w:pPr>
    </w:p>
    <w:p w14:paraId="2FA34918">
      <w:pPr>
        <w:spacing w:line="236" w:lineRule="auto"/>
        <w:ind w:left="40" w:right="160"/>
        <w:jc w:val="both"/>
        <w:rPr>
          <w:sz w:val="24"/>
          <w:szCs w:val="24"/>
        </w:rPr>
      </w:pPr>
      <w:r>
        <w:rPr>
          <w:sz w:val="24"/>
          <w:szCs w:val="24"/>
        </w:rPr>
        <w:t>1.7. Данные Правила вступают в силу с момента принятия на Педагогическом совете МБОУ «Школа № 65» и утверждения приказом директора Школы, действуют до принятия новых Правил.</w:t>
      </w:r>
    </w:p>
    <w:p w14:paraId="601B8E9C">
      <w:pPr>
        <w:spacing w:line="236" w:lineRule="auto"/>
        <w:ind w:left="40" w:right="160"/>
        <w:jc w:val="both"/>
        <w:rPr>
          <w:sz w:val="24"/>
          <w:szCs w:val="24"/>
        </w:rPr>
      </w:pPr>
    </w:p>
    <w:p w14:paraId="50B88BA6">
      <w:pPr>
        <w:numPr>
          <w:ilvl w:val="1"/>
          <w:numId w:val="2"/>
        </w:numPr>
        <w:tabs>
          <w:tab w:val="left" w:pos="1260"/>
        </w:tabs>
        <w:ind w:left="1260" w:hanging="284"/>
        <w:jc w:val="both"/>
        <w:rPr>
          <w:b/>
          <w:bCs/>
          <w:szCs w:val="28"/>
        </w:rPr>
      </w:pPr>
      <w:r>
        <w:rPr>
          <w:b/>
          <w:bCs/>
          <w:szCs w:val="28"/>
        </w:rPr>
        <w:t>Правила обмена деловыми подарками и знаками делового</w:t>
      </w:r>
    </w:p>
    <w:p w14:paraId="4A0FEDC6">
      <w:pPr>
        <w:ind w:right="140"/>
        <w:rPr>
          <w:b/>
          <w:bCs/>
          <w:szCs w:val="28"/>
        </w:rPr>
      </w:pPr>
      <w:r>
        <w:rPr>
          <w:b/>
          <w:bCs/>
          <w:szCs w:val="28"/>
        </w:rPr>
        <w:t>гостеприимства</w:t>
      </w:r>
    </w:p>
    <w:p w14:paraId="1009B3E8">
      <w:pPr>
        <w:ind w:right="140"/>
        <w:rPr>
          <w:b/>
          <w:bCs/>
          <w:szCs w:val="28"/>
        </w:rPr>
      </w:pPr>
    </w:p>
    <w:p w14:paraId="1715B3D9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Обмен деловыми подарками и знаками делового гостеприимства при организации совместных мероприятий является нормальной деловой практикой для установления и поддержания деловых отношений в процессе совместной работы и как проявление общепринятой вежливости. Поводы, по которым принято делать подарки и оказывать знаки делового гостеприимства:</w:t>
      </w:r>
    </w:p>
    <w:p w14:paraId="3DD902A2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юбилейные и другие значительные даты;</w:t>
      </w:r>
    </w:p>
    <w:p w14:paraId="68FA87A3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государственные праздники:</w:t>
      </w:r>
    </w:p>
    <w:p w14:paraId="3EA8FEA7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профессиональные праздники и т.д.</w:t>
      </w:r>
    </w:p>
    <w:p w14:paraId="69A48B61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 Подарки, услуги и знаки делового гостеприимства не должны ставить под сомнение имидж или деловую репутацию Школы и её работников; не должны противоречить принципам и требованиям антикоррупционной политики Школы, нормам профессиональной этики педагогических работников Школы, действующему законодательству и общепринятым нормам морали и нравственности.</w:t>
      </w:r>
    </w:p>
    <w:p w14:paraId="1585C593">
      <w:pPr>
        <w:ind w:right="140"/>
        <w:jc w:val="both"/>
        <w:rPr>
          <w:bCs/>
          <w:sz w:val="24"/>
          <w:szCs w:val="24"/>
        </w:rPr>
      </w:pPr>
    </w:p>
    <w:p w14:paraId="75ED4489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 Подарки должны носить скорее символический характер. В качестве подарков следует стремиться использовать в максимально допустимом количестве случаев сувениры, имеющие символику Школы.</w:t>
      </w:r>
    </w:p>
    <w:p w14:paraId="0C0D9E6D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 Подарки, услуги и знаки делового гостеприимства, предоставляемые Школой, передаются только от имени Школы в целом, а не как подарки от отдельного работника.</w:t>
      </w:r>
    </w:p>
    <w:p w14:paraId="709181B7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2.5. Стоимость, и периодичность дарения и получения подарков, и участие в совместных мероприятиях одного и того же работника Школы должны определяться производственной необходимостью и быть разумными т.е. принимаемые подарки и знаки делового гостеприимства не должны приводить к возникновению каких-либо встречных обязательств со стороны получателя и оказывать влияние на объективность деловых суждений и решений. 2.6. Работникам не следует принимать или передавать подарки в любом виде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При любых сомнениях в правомерности или этичности своих действий работник обязан поставить в известность директора школы и проконсультироваться с ним, прежде чем дарить или получать подарки. или участвовать в тех или иных совместных мероприятиях.</w:t>
      </w:r>
    </w:p>
    <w:p w14:paraId="4825DE70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2.7. Работник Школы, которому при выполнении трудовых обязанностей предлагаются подарки и знаки делового гостеприимства, которые способны повлиять на решения или оказать влияние на его действия (бездействия), должен:</w:t>
      </w:r>
    </w:p>
    <w:p w14:paraId="35325296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отказаться от них и немедленно уведомить директора школы о факте предложения подарка; </w:t>
      </w:r>
    </w:p>
    <w:p w14:paraId="77D5A22C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 случае если подарок не представляется возможным отклонить или возвратить, передать его с соответствующей служебной запиской директору школы и продолжить работу в установленном в Школе порядке над вопросом, с которым был связал подарок или вознаграждение.</w:t>
      </w:r>
    </w:p>
    <w:p w14:paraId="45E849EB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2.8. При получении предложения об осуществлении спонсорских или благотворительных программ и мероприятий для Школы следует предварительно удостовериться, что предоставляемая помощь не будет использована в коррупционных целях или иным незаконным путем.</w:t>
      </w:r>
    </w:p>
    <w:p w14:paraId="612231D3">
      <w:pPr>
        <w:ind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2.9. Школа не приемлет коррупции. Подарки и услуги не могут быть использованы для дачи или получения взяток, или коммерческого подкупа.</w:t>
      </w:r>
    </w:p>
    <w:p w14:paraId="7E6C1E6A">
      <w:pPr>
        <w:ind w:right="140"/>
        <w:jc w:val="both"/>
        <w:rPr>
          <w:b/>
          <w:bCs/>
          <w:szCs w:val="28"/>
        </w:rPr>
      </w:pPr>
    </w:p>
    <w:p w14:paraId="499F488A">
      <w:pPr>
        <w:ind w:right="140"/>
        <w:rPr>
          <w:b/>
          <w:bCs/>
          <w:szCs w:val="28"/>
        </w:rPr>
      </w:pPr>
      <w:r>
        <w:rPr>
          <w:b/>
          <w:bCs/>
          <w:szCs w:val="28"/>
        </w:rPr>
        <w:t>3.Ответственность и область применения.</w:t>
      </w:r>
    </w:p>
    <w:p w14:paraId="1C155A5B">
      <w:pPr>
        <w:ind w:right="140"/>
        <w:jc w:val="both"/>
        <w:rPr>
          <w:b/>
          <w:bCs/>
          <w:szCs w:val="28"/>
        </w:rPr>
      </w:pPr>
    </w:p>
    <w:p w14:paraId="28FA25DF">
      <w:pPr>
        <w:ind w:right="140"/>
        <w:jc w:val="both"/>
        <w:rPr>
          <w:bCs/>
          <w:szCs w:val="28"/>
        </w:rPr>
      </w:pPr>
      <w:r>
        <w:rPr>
          <w:bCs/>
          <w:szCs w:val="28"/>
        </w:rPr>
        <w:t>3.1. Настоящие Правила подлежат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14:paraId="1F95F4CA">
      <w:pPr>
        <w:ind w:right="140"/>
        <w:jc w:val="both"/>
        <w:rPr>
          <w:bCs/>
          <w:szCs w:val="28"/>
        </w:rPr>
      </w:pPr>
      <w:r>
        <w:rPr>
          <w:bCs/>
          <w:szCs w:val="28"/>
        </w:rPr>
        <w:t>3.2. Неисполнение настоящих Правил может стать основанием для применения к работнику Школы мер дисциплинарного, административного, уголовного и гражданско-правового характера.</w:t>
      </w:r>
    </w:p>
    <w:p w14:paraId="4D354A56">
      <w:pPr>
        <w:spacing w:line="236" w:lineRule="auto"/>
        <w:ind w:left="40" w:right="160"/>
        <w:jc w:val="both"/>
        <w:rPr>
          <w:sz w:val="24"/>
          <w:szCs w:val="24"/>
        </w:rPr>
      </w:pPr>
    </w:p>
    <w:p w14:paraId="283285CE">
      <w:pPr>
        <w:jc w:val="both"/>
      </w:pPr>
    </w:p>
    <w:p w14:paraId="223D2444">
      <w:pPr>
        <w:spacing w:line="264" w:lineRule="auto"/>
        <w:jc w:val="both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3C0DE1AD">
      <w:pPr>
        <w:spacing w:line="264" w:lineRule="auto"/>
        <w:jc w:val="both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AD4F69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1ADF42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FCAC3E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EA8E70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07ACC6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C521B3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A0026D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84E2A6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A070D4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BB1910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57E141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CD4265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67F969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217283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103B31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FAC144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23B475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25FB03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4A9A8C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BE35C4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27F9EDC">
      <w:pPr>
        <w:spacing w:line="264" w:lineRule="auto"/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BB0D7F">
      <w:pPr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B1BFC9">
      <w:pPr>
        <w:jc w:val="right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71100A">
      <w:pPr>
        <w:ind w:firstLine="708"/>
        <w:jc w:val="both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849" w:bottom="584" w:left="1560" w:header="708" w:footer="708" w:gutter="0"/>
          <w:pgBorders w:display="firstPage" w:offsetFrom="page">
            <w:top w:val="cornerTriangles" w:color="auto" w:sz="31" w:space="24"/>
            <w:left w:val="cornerTriangles" w:color="auto" w:sz="31" w:space="24"/>
            <w:bottom w:val="cornerTriangles" w:color="auto" w:sz="31" w:space="24"/>
            <w:right w:val="cornerTriangles" w:color="auto" w:sz="31" w:space="24"/>
          </w:pgBorders>
          <w:cols w:space="708" w:num="1"/>
          <w:docGrid w:linePitch="360" w:charSpace="0"/>
        </w:sectPr>
      </w:pPr>
    </w:p>
    <w:p w14:paraId="42EEB02F">
      <w:pPr>
        <w:ind w:firstLine="708"/>
        <w:jc w:val="both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CEB49">
    <w:pPr>
      <w:pStyle w:val="1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1DFD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1DFD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1649"/>
    <w:multiLevelType w:val="multilevel"/>
    <w:tmpl w:val="00001649"/>
    <w:lvl w:ilvl="0" w:tentative="0">
      <w:start w:val="1"/>
      <w:numFmt w:val="bullet"/>
      <w:lvlText w:val="-"/>
      <w:lvlJc w:val="left"/>
    </w:lvl>
    <w:lvl w:ilvl="1" w:tentative="0">
      <w:start w:val="2"/>
      <w:numFmt w:val="decimal"/>
      <w:lvlText w:val="%2.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1AB1D69"/>
    <w:multiLevelType w:val="multilevel"/>
    <w:tmpl w:val="31AB1D6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02D6F"/>
    <w:rsid w:val="000273F2"/>
    <w:rsid w:val="000349A6"/>
    <w:rsid w:val="000578E9"/>
    <w:rsid w:val="000C6D17"/>
    <w:rsid w:val="000E3279"/>
    <w:rsid w:val="001038D0"/>
    <w:rsid w:val="0011191B"/>
    <w:rsid w:val="001701A7"/>
    <w:rsid w:val="001712C9"/>
    <w:rsid w:val="00177BB5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D7055"/>
    <w:rsid w:val="002D780D"/>
    <w:rsid w:val="002E25A4"/>
    <w:rsid w:val="003273E5"/>
    <w:rsid w:val="003A429E"/>
    <w:rsid w:val="003B3DF7"/>
    <w:rsid w:val="003C3975"/>
    <w:rsid w:val="00435522"/>
    <w:rsid w:val="004830CB"/>
    <w:rsid w:val="004C6A51"/>
    <w:rsid w:val="004F3786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D3117"/>
    <w:rsid w:val="007F0C83"/>
    <w:rsid w:val="007F7136"/>
    <w:rsid w:val="00837A72"/>
    <w:rsid w:val="00845789"/>
    <w:rsid w:val="0085052F"/>
    <w:rsid w:val="0088592D"/>
    <w:rsid w:val="008B5793"/>
    <w:rsid w:val="00904E27"/>
    <w:rsid w:val="00906A80"/>
    <w:rsid w:val="009331EA"/>
    <w:rsid w:val="009370D1"/>
    <w:rsid w:val="00940592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8375E"/>
    <w:rsid w:val="00A920D1"/>
    <w:rsid w:val="00A9455E"/>
    <w:rsid w:val="00AA6503"/>
    <w:rsid w:val="00AB781F"/>
    <w:rsid w:val="00AF7646"/>
    <w:rsid w:val="00B17047"/>
    <w:rsid w:val="00B52112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1304B"/>
    <w:rsid w:val="00D67C8F"/>
    <w:rsid w:val="00DC5235"/>
    <w:rsid w:val="00DE01A8"/>
    <w:rsid w:val="00DF758C"/>
    <w:rsid w:val="00E11401"/>
    <w:rsid w:val="00E13472"/>
    <w:rsid w:val="00E20E2A"/>
    <w:rsid w:val="00E221F4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  <w:rsid w:val="04A27962"/>
    <w:rsid w:val="05196CE4"/>
    <w:rsid w:val="054F61A2"/>
    <w:rsid w:val="0DBF34C5"/>
    <w:rsid w:val="17615469"/>
    <w:rsid w:val="1B015757"/>
    <w:rsid w:val="3599606E"/>
    <w:rsid w:val="4871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Times New Roman" w:cs="Calibr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7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qFormat/>
    <w:uiPriority w:val="0"/>
    <w:rPr>
      <w:b/>
      <w:bCs/>
      <w:sz w:val="32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table" w:styleId="11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formattext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5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16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7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Calibri"/>
      <w:sz w:val="20"/>
      <w:szCs w:val="20"/>
    </w:rPr>
  </w:style>
  <w:style w:type="character" w:customStyle="1" w:styleId="18">
    <w:name w:val="Тема примечания Знак"/>
    <w:basedOn w:val="17"/>
    <w:link w:val="7"/>
    <w:semiHidden/>
    <w:qFormat/>
    <w:uiPriority w:val="99"/>
    <w:rPr>
      <w:rFonts w:ascii="Times New Roman" w:hAnsi="Times New Roman" w:eastAsia="Times New Roman" w:cs="Calibri"/>
      <w:b/>
      <w:bCs/>
      <w:sz w:val="20"/>
      <w:szCs w:val="20"/>
    </w:rPr>
  </w:style>
  <w:style w:type="character" w:customStyle="1" w:styleId="19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0">
    <w:name w:val="Верхний колонтитул Знак"/>
    <w:basedOn w:val="2"/>
    <w:link w:val="8"/>
    <w:qFormat/>
    <w:uiPriority w:val="99"/>
    <w:rPr>
      <w:rFonts w:ascii="Times New Roman" w:hAnsi="Times New Roman" w:eastAsia="Times New Roman" w:cs="Calibri"/>
      <w:sz w:val="28"/>
    </w:rPr>
  </w:style>
  <w:style w:type="character" w:customStyle="1" w:styleId="21">
    <w:name w:val="Нижний колонтитул Знак"/>
    <w:basedOn w:val="2"/>
    <w:link w:val="10"/>
    <w:qFormat/>
    <w:uiPriority w:val="99"/>
    <w:rPr>
      <w:rFonts w:ascii="Times New Roman" w:hAnsi="Times New Roman" w:eastAsia="Times New Roman" w:cs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908</Words>
  <Characters>5180</Characters>
  <Lines>43</Lines>
  <Paragraphs>12</Paragraphs>
  <TotalTime>8</TotalTime>
  <ScaleCrop>false</ScaleCrop>
  <LinksUpToDate>false</LinksUpToDate>
  <CharactersWithSpaces>6076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2023-04-22T07:12:00Z</dcterms:created>
  <dc:creator>SokolovaAA</dc:creator>
  <cp:lastModifiedBy>User</cp:lastModifiedBy>
  <cp:lastPrinted>2023-04-22T07:58:00Z</cp:lastPrinted>
  <dcterms:modified xsi:type="dcterms:W3CDTF">2024-08-29T01:55:01Z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A44806D6D3424CA6B0847EEEDCABA30E_13</vt:lpwstr>
  </property>
</Properties>
</file>